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Tomelilla kommunfullmäktige</w:t>
      </w:r>
    </w:p>
    <w:p>
      <w:pPr>
        <w:pStyle w:val="Heading1"/>
      </w:pPr>
      <w:r>
        <w:t xml:space="preserve">Fler hyresrätter i Tomelilla tätort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Tomelilla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akut för unga och nyanlända. Tomelilla har endast 42 hyresrätter per 1000 invånare (Boverket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Tomelilla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tekniska nämnden i uppdrag att ta fram en bostadsförsörjningsplan med mål om 80 nya hyresrätter till 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prioriterar markanvisningar till allmännyttiga bolag.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avsätter planeringsmedel för att utreda nybyggnation på fastigheten Tomelilla 3:12.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årligen redovisar antalet påbörjade hyresrätter.</w:t>
      </w:r>
    </w:p>
    <w:p>
      <w:pPr>
        <w:spacing w:before="360"/>
      </w:pPr>
    </w:p>
    <w:p>
      <w:r>
        <w:t xml:space="preserve">Tomelilla,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Tomelilla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2026-07-14T01:34:50.472Z</dcterms:created>
  <dcterms:modified xsi:type="dcterms:W3CDTF">2026-07-14T01:34:50.472Z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